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4BF" w:rsidRPr="002564BF" w:rsidRDefault="002564BF">
      <w:pPr>
        <w:pStyle w:val="Ttulo4"/>
        <w:rPr>
          <w:sz w:val="20"/>
        </w:rPr>
      </w:pPr>
    </w:p>
    <w:p w:rsidR="00723AEB" w:rsidRDefault="00723AEB">
      <w:pPr>
        <w:pStyle w:val="Ttulo4"/>
      </w:pPr>
      <w:r>
        <w:t>Patricio Eugenio Guaita Rojas</w:t>
      </w:r>
    </w:p>
    <w:p w:rsidR="00723AEB" w:rsidRDefault="00723AEB">
      <w:pPr>
        <w:jc w:val="center"/>
        <w:rPr>
          <w:rFonts w:ascii="Arial" w:hAnsi="Arial"/>
          <w:b/>
          <w:sz w:val="24"/>
          <w:lang w:val="es-ES_tradnl"/>
        </w:rPr>
      </w:pPr>
      <w:r>
        <w:rPr>
          <w:rFonts w:ascii="Arial" w:hAnsi="Arial"/>
          <w:b/>
          <w:sz w:val="24"/>
          <w:lang w:val="es-ES_tradnl"/>
        </w:rPr>
        <w:t>Contador Público y Auditor</w:t>
      </w:r>
    </w:p>
    <w:p w:rsidR="00723AEB" w:rsidRPr="00753E9F" w:rsidRDefault="009507B1" w:rsidP="009B3AFE">
      <w:pPr>
        <w:tabs>
          <w:tab w:val="right" w:pos="8364"/>
        </w:tabs>
        <w:ind w:right="51"/>
        <w:jc w:val="center"/>
        <w:rPr>
          <w:rFonts w:ascii="Arial" w:hAnsi="Arial"/>
          <w:lang w:val="en-US"/>
        </w:rPr>
      </w:pPr>
      <w:proofErr w:type="spellStart"/>
      <w:r w:rsidRPr="009B3AFE">
        <w:rPr>
          <w:rFonts w:ascii="Arial" w:hAnsi="Arial"/>
          <w:lang w:val="en-US"/>
        </w:rPr>
        <w:t>Celular</w:t>
      </w:r>
      <w:proofErr w:type="spellEnd"/>
      <w:r w:rsidRPr="00753E9F">
        <w:rPr>
          <w:rFonts w:ascii="Arial" w:hAnsi="Arial"/>
          <w:lang w:val="en-US"/>
        </w:rPr>
        <w:t xml:space="preserve">: </w:t>
      </w:r>
      <w:r w:rsidR="00D556B1">
        <w:rPr>
          <w:rFonts w:ascii="Arial" w:hAnsi="Arial"/>
          <w:lang w:val="en-US"/>
        </w:rPr>
        <w:t xml:space="preserve">9 </w:t>
      </w:r>
      <w:r w:rsidR="003F4AB0">
        <w:rPr>
          <w:rFonts w:ascii="Arial" w:hAnsi="Arial"/>
          <w:lang w:val="en-US"/>
        </w:rPr>
        <w:t>49448375</w:t>
      </w:r>
    </w:p>
    <w:p w:rsidR="00723AEB" w:rsidRDefault="00753E9F" w:rsidP="009B3AFE">
      <w:pPr>
        <w:jc w:val="center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Email:  </w:t>
      </w:r>
      <w:r w:rsidRPr="009A1F4B">
        <w:rPr>
          <w:rFonts w:ascii="Arial" w:hAnsi="Arial"/>
          <w:b/>
          <w:lang w:val="en-US"/>
        </w:rPr>
        <w:t>pguaitar@gmail.com</w:t>
      </w:r>
    </w:p>
    <w:p w:rsidR="00723AEB" w:rsidRDefault="00723AEB">
      <w:pPr>
        <w:jc w:val="center"/>
        <w:rPr>
          <w:rFonts w:ascii="Arial" w:hAnsi="Arial"/>
          <w:lang w:val="en-US"/>
        </w:rPr>
      </w:pPr>
    </w:p>
    <w:p w:rsidR="00723AEB" w:rsidRDefault="00723AEB">
      <w:pPr>
        <w:jc w:val="center"/>
        <w:rPr>
          <w:rFonts w:ascii="Arial" w:hAnsi="Arial"/>
          <w:lang w:val="en-US"/>
        </w:rPr>
      </w:pPr>
    </w:p>
    <w:p w:rsidR="00723AEB" w:rsidRPr="009B3AFE" w:rsidRDefault="00723AEB">
      <w:pPr>
        <w:jc w:val="center"/>
        <w:rPr>
          <w:rFonts w:ascii="Arial" w:hAnsi="Arial"/>
          <w:lang w:val="en-US"/>
        </w:rPr>
      </w:pPr>
      <w:r w:rsidRPr="009B3AFE">
        <w:rPr>
          <w:rFonts w:ascii="Arial" w:hAnsi="Arial"/>
          <w:lang w:val="en-US"/>
        </w:rPr>
        <w:t>RESUMEN</w:t>
      </w:r>
    </w:p>
    <w:p w:rsidR="00723AEB" w:rsidRPr="009B3AFE" w:rsidRDefault="00723AEB">
      <w:pPr>
        <w:jc w:val="center"/>
        <w:rPr>
          <w:rFonts w:ascii="Arial" w:hAnsi="Arial"/>
          <w:lang w:val="en-US"/>
        </w:rPr>
      </w:pPr>
    </w:p>
    <w:p w:rsidR="00397EE1" w:rsidRDefault="00723AEB">
      <w:pPr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Contador Auditor  con </w:t>
      </w:r>
      <w:r w:rsidR="00A4533D">
        <w:rPr>
          <w:rFonts w:ascii="Arial" w:hAnsi="Arial"/>
          <w:lang w:val="es-ES_tradnl"/>
        </w:rPr>
        <w:t>20</w:t>
      </w:r>
      <w:r>
        <w:rPr>
          <w:rFonts w:ascii="Arial" w:hAnsi="Arial"/>
          <w:lang w:val="es-ES_tradnl"/>
        </w:rPr>
        <w:t xml:space="preserve"> años  de experiencia</w:t>
      </w:r>
      <w:r w:rsidR="00397EE1">
        <w:rPr>
          <w:rFonts w:ascii="Arial" w:hAnsi="Arial"/>
          <w:lang w:val="es-ES_tradnl"/>
        </w:rPr>
        <w:t xml:space="preserve"> en empresas del sector industrial y de servicios de salud</w:t>
      </w:r>
      <w:r>
        <w:rPr>
          <w:rFonts w:ascii="Arial" w:hAnsi="Arial"/>
          <w:lang w:val="es-ES_tradnl"/>
        </w:rPr>
        <w:t>, con sólidos conocimientos contables en preparación y análisis de estados financieros de sociedades anónimas abierta</w:t>
      </w:r>
      <w:r w:rsidR="00B96E71">
        <w:rPr>
          <w:rFonts w:ascii="Arial" w:hAnsi="Arial"/>
          <w:lang w:val="es-ES_tradnl"/>
        </w:rPr>
        <w:t>s</w:t>
      </w:r>
      <w:r w:rsidR="00397EE1">
        <w:rPr>
          <w:rFonts w:ascii="Arial" w:hAnsi="Arial"/>
          <w:lang w:val="es-ES_tradnl"/>
        </w:rPr>
        <w:t xml:space="preserve"> bajo normas IFRS</w:t>
      </w:r>
      <w:r w:rsidR="00B96E71">
        <w:rPr>
          <w:rFonts w:ascii="Arial" w:hAnsi="Arial"/>
          <w:lang w:val="es-ES_tradnl"/>
        </w:rPr>
        <w:t>, en el campo de la auditoría y  en la preparación y manejo de los flujos de caja de las empresas.</w:t>
      </w:r>
    </w:p>
    <w:p w:rsidR="00723AEB" w:rsidRDefault="00723AEB">
      <w:pPr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Buen desarrollo de habilidades comunicacionales</w:t>
      </w:r>
      <w:r w:rsidR="00495B8A">
        <w:rPr>
          <w:rFonts w:ascii="Arial" w:hAnsi="Arial"/>
          <w:lang w:val="es-ES_tradnl"/>
        </w:rPr>
        <w:t>,</w:t>
      </w:r>
      <w:r>
        <w:rPr>
          <w:rFonts w:ascii="Arial" w:hAnsi="Arial"/>
          <w:lang w:val="es-ES_tradnl"/>
        </w:rPr>
        <w:t xml:space="preserve"> para relacionarse en </w:t>
      </w:r>
      <w:r w:rsidR="00397EE1">
        <w:rPr>
          <w:rFonts w:ascii="Arial" w:hAnsi="Arial"/>
          <w:lang w:val="es-ES_tradnl"/>
        </w:rPr>
        <w:t>forma transversal dentro de la organización.</w:t>
      </w:r>
    </w:p>
    <w:p w:rsidR="00723AEB" w:rsidRDefault="00723AEB">
      <w:pPr>
        <w:pStyle w:val="Ttulo1"/>
      </w:pPr>
    </w:p>
    <w:p w:rsidR="00723AEB" w:rsidRDefault="00723AEB">
      <w:pPr>
        <w:pStyle w:val="Ttulo1"/>
      </w:pPr>
    </w:p>
    <w:p w:rsidR="00723AEB" w:rsidRDefault="00723AEB">
      <w:pPr>
        <w:pStyle w:val="Ttulo1"/>
      </w:pPr>
      <w:r>
        <w:t>EXPERIENCIA PROFESIONAL</w:t>
      </w:r>
    </w:p>
    <w:p w:rsidR="00723AEB" w:rsidRDefault="00723AEB">
      <w:pPr>
        <w:jc w:val="both"/>
        <w:rPr>
          <w:rFonts w:ascii="Arial" w:hAnsi="Arial"/>
          <w:lang w:val="es-ES_tradnl"/>
        </w:rPr>
      </w:pPr>
    </w:p>
    <w:p w:rsidR="00F366D0" w:rsidRPr="00F366D0" w:rsidRDefault="00F366D0" w:rsidP="00F366D0">
      <w:pPr>
        <w:tabs>
          <w:tab w:val="right" w:pos="8364"/>
        </w:tabs>
        <w:jc w:val="both"/>
        <w:rPr>
          <w:rFonts w:ascii="Arial" w:hAnsi="Arial"/>
          <w:b/>
          <w:lang w:val="es-ES_tradnl"/>
        </w:rPr>
      </w:pPr>
      <w:r w:rsidRPr="00F366D0">
        <w:rPr>
          <w:rFonts w:ascii="Arial" w:hAnsi="Arial"/>
          <w:b/>
          <w:lang w:val="es-ES_tradnl"/>
        </w:rPr>
        <w:t>Exportadora Santa Elena S.A.</w:t>
      </w:r>
      <w:r w:rsidRPr="00F366D0">
        <w:rPr>
          <w:rFonts w:ascii="Arial" w:hAnsi="Arial"/>
          <w:b/>
          <w:lang w:val="es-ES_tradnl"/>
        </w:rPr>
        <w:tab/>
      </w:r>
      <w:r w:rsidR="00495B8A" w:rsidRPr="006545B9">
        <w:rPr>
          <w:rFonts w:ascii="Arial" w:hAnsi="Arial"/>
          <w:lang w:val="es-ES_tradnl"/>
        </w:rPr>
        <w:t>desde</w:t>
      </w:r>
      <w:r w:rsidR="006545B9">
        <w:rPr>
          <w:rFonts w:ascii="Arial" w:hAnsi="Arial"/>
          <w:color w:val="FF0000"/>
          <w:lang w:val="es-ES_tradnl"/>
        </w:rPr>
        <w:t xml:space="preserve"> </w:t>
      </w:r>
      <w:r w:rsidR="006545B9" w:rsidRPr="006545B9">
        <w:rPr>
          <w:rFonts w:ascii="Arial" w:hAnsi="Arial"/>
          <w:lang w:val="es-ES_tradnl"/>
        </w:rPr>
        <w:t>el 17/07/2018</w:t>
      </w:r>
    </w:p>
    <w:p w:rsidR="00F366D0" w:rsidRPr="00F366D0" w:rsidRDefault="00495B8A">
      <w:pPr>
        <w:jc w:val="both"/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>Contador G</w:t>
      </w:r>
      <w:r w:rsidR="00F366D0" w:rsidRPr="00F366D0">
        <w:rPr>
          <w:rFonts w:ascii="Arial" w:hAnsi="Arial"/>
          <w:b/>
          <w:lang w:val="es-ES_tradnl"/>
        </w:rPr>
        <w:t>eneral</w:t>
      </w:r>
    </w:p>
    <w:p w:rsidR="00F366D0" w:rsidRDefault="00F366D0">
      <w:pPr>
        <w:jc w:val="both"/>
        <w:rPr>
          <w:rFonts w:ascii="Arial" w:hAnsi="Arial"/>
          <w:lang w:val="es-ES_tradnl"/>
        </w:rPr>
      </w:pPr>
    </w:p>
    <w:p w:rsidR="00F366D0" w:rsidRDefault="00F366D0">
      <w:pPr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Responsable de la contabilidad de las 3 empresas que conforman el grupo</w:t>
      </w:r>
      <w:r w:rsidR="006545B9">
        <w:rPr>
          <w:rFonts w:ascii="Arial" w:hAnsi="Arial"/>
          <w:lang w:val="es-ES_tradnl"/>
        </w:rPr>
        <w:t xml:space="preserve"> Santa Elena</w:t>
      </w:r>
      <w:r w:rsidR="0066649C">
        <w:rPr>
          <w:rFonts w:ascii="Arial" w:hAnsi="Arial"/>
          <w:lang w:val="es-ES_tradnl"/>
        </w:rPr>
        <w:t>,</w:t>
      </w:r>
      <w:r w:rsidR="00955541">
        <w:rPr>
          <w:rFonts w:ascii="Arial" w:hAnsi="Arial"/>
          <w:lang w:val="es-ES_tradnl"/>
        </w:rPr>
        <w:t xml:space="preserve"> 2 exportadoras de uvas Premium y 1 agrícola, productora de uvas.</w:t>
      </w:r>
      <w:r w:rsidR="007A0F59">
        <w:rPr>
          <w:rFonts w:ascii="Arial" w:hAnsi="Arial"/>
          <w:lang w:val="es-ES_tradnl"/>
        </w:rPr>
        <w:t xml:space="preserve"> Con contrato a plazo fijo hasta el 31 de diciembre de 2018.</w:t>
      </w:r>
      <w:bookmarkStart w:id="0" w:name="_GoBack"/>
      <w:bookmarkEnd w:id="0"/>
    </w:p>
    <w:p w:rsidR="00F366D0" w:rsidRDefault="00F366D0">
      <w:pPr>
        <w:jc w:val="both"/>
        <w:rPr>
          <w:rFonts w:ascii="Arial" w:hAnsi="Arial"/>
          <w:lang w:val="es-ES_tradnl"/>
        </w:rPr>
      </w:pPr>
    </w:p>
    <w:p w:rsidR="00F366D0" w:rsidRDefault="00F366D0">
      <w:pPr>
        <w:jc w:val="both"/>
        <w:rPr>
          <w:rFonts w:ascii="Arial" w:hAnsi="Arial"/>
          <w:lang w:val="es-ES_tradnl"/>
        </w:rPr>
      </w:pPr>
    </w:p>
    <w:p w:rsidR="00D24413" w:rsidRPr="005038D0" w:rsidRDefault="00D24413" w:rsidP="005038D0">
      <w:pPr>
        <w:tabs>
          <w:tab w:val="right" w:pos="8364"/>
        </w:tabs>
        <w:jc w:val="both"/>
        <w:rPr>
          <w:rFonts w:ascii="Arial" w:hAnsi="Arial"/>
          <w:b/>
          <w:lang w:val="es-ES_tradnl"/>
        </w:rPr>
      </w:pPr>
      <w:r w:rsidRPr="005038D0">
        <w:rPr>
          <w:rFonts w:ascii="Arial" w:hAnsi="Arial"/>
          <w:b/>
          <w:lang w:val="es-ES_tradnl"/>
        </w:rPr>
        <w:t>Asociación</w:t>
      </w:r>
      <w:r w:rsidR="00461BF0" w:rsidRPr="005038D0">
        <w:rPr>
          <w:rFonts w:ascii="Arial" w:hAnsi="Arial"/>
          <w:b/>
          <w:lang w:val="es-ES_tradnl"/>
        </w:rPr>
        <w:t xml:space="preserve"> Chilena de Seguridad – ACHS</w:t>
      </w:r>
      <w:r w:rsidR="00461BF0" w:rsidRPr="005038D0">
        <w:rPr>
          <w:rFonts w:ascii="Arial" w:hAnsi="Arial"/>
          <w:b/>
          <w:lang w:val="es-ES_tradnl"/>
        </w:rPr>
        <w:tab/>
        <w:t>(</w:t>
      </w:r>
      <w:r w:rsidR="00397EE1" w:rsidRPr="005038D0">
        <w:rPr>
          <w:rFonts w:ascii="Arial" w:hAnsi="Arial"/>
          <w:b/>
          <w:lang w:val="es-ES_tradnl"/>
        </w:rPr>
        <w:t>2014 - 2018</w:t>
      </w:r>
      <w:r w:rsidR="00461BF0" w:rsidRPr="005038D0">
        <w:rPr>
          <w:rFonts w:ascii="Arial" w:hAnsi="Arial"/>
          <w:b/>
          <w:lang w:val="es-ES_tradnl"/>
        </w:rPr>
        <w:t>)</w:t>
      </w:r>
    </w:p>
    <w:p w:rsidR="00461BF0" w:rsidRDefault="00461BF0" w:rsidP="00397EE1">
      <w:pPr>
        <w:pStyle w:val="Ttulo2"/>
        <w:ind w:left="0"/>
        <w:jc w:val="left"/>
      </w:pPr>
      <w:r>
        <w:t>Subgerente de Contabilidad</w:t>
      </w:r>
    </w:p>
    <w:p w:rsidR="00461BF0" w:rsidRDefault="00461BF0" w:rsidP="00461BF0">
      <w:pPr>
        <w:jc w:val="both"/>
        <w:rPr>
          <w:rFonts w:ascii="Arial" w:hAnsi="Arial"/>
          <w:lang w:val="es-ES_tradnl"/>
        </w:rPr>
      </w:pPr>
    </w:p>
    <w:p w:rsidR="00495B8A" w:rsidRDefault="00397EE1">
      <w:pPr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Responsable de</w:t>
      </w:r>
      <w:r w:rsidR="009B1AB0">
        <w:rPr>
          <w:rFonts w:ascii="Arial" w:hAnsi="Arial"/>
          <w:lang w:val="es-ES_tradnl"/>
        </w:rPr>
        <w:t xml:space="preserve"> uniformar las políticas y normas contables</w:t>
      </w:r>
      <w:r w:rsidR="00495B8A" w:rsidRPr="006545B9">
        <w:rPr>
          <w:rFonts w:ascii="Arial" w:hAnsi="Arial"/>
          <w:lang w:val="es-ES_tradnl"/>
        </w:rPr>
        <w:t>,</w:t>
      </w:r>
      <w:r w:rsidR="009B1AB0" w:rsidRPr="006545B9">
        <w:rPr>
          <w:rFonts w:ascii="Arial" w:hAnsi="Arial"/>
          <w:lang w:val="es-ES_tradnl"/>
        </w:rPr>
        <w:t xml:space="preserve"> </w:t>
      </w:r>
      <w:r w:rsidR="00B639E4">
        <w:rPr>
          <w:rFonts w:ascii="Arial" w:hAnsi="Arial"/>
          <w:lang w:val="es-ES_tradnl"/>
        </w:rPr>
        <w:t xml:space="preserve">mejorar la calidad de la información que genera </w:t>
      </w:r>
      <w:r w:rsidR="00495B8A">
        <w:rPr>
          <w:rFonts w:ascii="Arial" w:hAnsi="Arial"/>
          <w:lang w:val="es-ES_tradnl"/>
        </w:rPr>
        <w:t>el Departamento de Contabilidad</w:t>
      </w:r>
      <w:r w:rsidR="00495B8A" w:rsidRPr="006545B9">
        <w:rPr>
          <w:rFonts w:ascii="Arial" w:hAnsi="Arial"/>
          <w:lang w:val="es-ES_tradnl"/>
        </w:rPr>
        <w:t xml:space="preserve">, brindar soporte </w:t>
      </w:r>
      <w:r w:rsidR="00495B8A">
        <w:rPr>
          <w:rFonts w:ascii="Arial" w:hAnsi="Arial"/>
          <w:lang w:val="es-ES_tradnl"/>
        </w:rPr>
        <w:t>en aspectos tributarios</w:t>
      </w:r>
      <w:r w:rsidR="00495B8A" w:rsidRPr="00495B8A">
        <w:rPr>
          <w:rFonts w:ascii="Arial" w:hAnsi="Arial"/>
          <w:lang w:val="es-ES_tradnl"/>
        </w:rPr>
        <w:t xml:space="preserve"> </w:t>
      </w:r>
      <w:r w:rsidR="00495B8A">
        <w:rPr>
          <w:rFonts w:ascii="Arial" w:hAnsi="Arial"/>
          <w:lang w:val="es-ES_tradnl"/>
        </w:rPr>
        <w:t xml:space="preserve">a todas las empresas del grupo. Apoya </w:t>
      </w:r>
      <w:r w:rsidR="00B639E4">
        <w:rPr>
          <w:rFonts w:ascii="Arial" w:hAnsi="Arial"/>
          <w:lang w:val="es-ES_tradnl"/>
        </w:rPr>
        <w:t>a los equipos que se encuentr</w:t>
      </w:r>
      <w:r w:rsidR="00495B8A">
        <w:rPr>
          <w:rFonts w:ascii="Arial" w:hAnsi="Arial"/>
          <w:lang w:val="es-ES_tradnl"/>
        </w:rPr>
        <w:t>an implementando SAP, incorpora</w:t>
      </w:r>
      <w:r w:rsidR="00B639E4">
        <w:rPr>
          <w:rFonts w:ascii="Arial" w:hAnsi="Arial"/>
          <w:lang w:val="es-ES_tradnl"/>
        </w:rPr>
        <w:t xml:space="preserve"> </w:t>
      </w:r>
      <w:r w:rsidR="00495B8A">
        <w:rPr>
          <w:rFonts w:ascii="Arial" w:hAnsi="Arial"/>
          <w:lang w:val="es-ES_tradnl"/>
        </w:rPr>
        <w:t>e</w:t>
      </w:r>
      <w:r w:rsidR="00B639E4">
        <w:rPr>
          <w:rFonts w:ascii="Arial" w:hAnsi="Arial"/>
          <w:lang w:val="es-ES_tradnl"/>
        </w:rPr>
        <w:t>l régimen de factura electrónica</w:t>
      </w:r>
      <w:r w:rsidR="00495B8A">
        <w:rPr>
          <w:rFonts w:ascii="Arial" w:hAnsi="Arial"/>
          <w:lang w:val="es-ES_tradnl"/>
        </w:rPr>
        <w:t xml:space="preserve"> y</w:t>
      </w:r>
      <w:r w:rsidR="00B639E4">
        <w:rPr>
          <w:rFonts w:ascii="Arial" w:hAnsi="Arial"/>
          <w:lang w:val="es-ES_tradnl"/>
        </w:rPr>
        <w:t xml:space="preserve"> vela por que se apliquen las Normas Internacionales de Información Financiera (NIIF)</w:t>
      </w:r>
      <w:r w:rsidR="00495B8A">
        <w:rPr>
          <w:rFonts w:ascii="Arial" w:hAnsi="Arial"/>
          <w:lang w:val="es-ES_tradnl"/>
        </w:rPr>
        <w:t>.</w:t>
      </w:r>
    </w:p>
    <w:p w:rsidR="00495B8A" w:rsidRDefault="00495B8A">
      <w:pPr>
        <w:jc w:val="both"/>
        <w:rPr>
          <w:rFonts w:ascii="Arial" w:hAnsi="Arial"/>
          <w:lang w:val="es-ES_tradnl"/>
        </w:rPr>
      </w:pPr>
    </w:p>
    <w:p w:rsidR="00D24413" w:rsidRDefault="00A90C16">
      <w:pPr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Los logros más importantes se resumen en:</w:t>
      </w:r>
    </w:p>
    <w:p w:rsidR="005038D0" w:rsidRPr="00461BF0" w:rsidRDefault="005038D0">
      <w:pPr>
        <w:jc w:val="both"/>
        <w:rPr>
          <w:rFonts w:ascii="Arial" w:hAnsi="Arial"/>
          <w:lang w:val="es-ES_tradnl"/>
        </w:rPr>
      </w:pPr>
    </w:p>
    <w:p w:rsidR="00D24413" w:rsidRDefault="006A420D" w:rsidP="00A90C16">
      <w:pPr>
        <w:pStyle w:val="Prrafodelista"/>
        <w:numPr>
          <w:ilvl w:val="0"/>
          <w:numId w:val="7"/>
        </w:numPr>
        <w:ind w:left="284" w:hanging="284"/>
        <w:jc w:val="both"/>
        <w:rPr>
          <w:rFonts w:ascii="Arial" w:hAnsi="Arial"/>
          <w:lang w:val="es-ES_tradnl"/>
        </w:rPr>
      </w:pPr>
      <w:r w:rsidRPr="00A90C16">
        <w:rPr>
          <w:rFonts w:ascii="Arial" w:hAnsi="Arial"/>
          <w:lang w:val="es-ES_tradnl"/>
        </w:rPr>
        <w:t>Se establece un plan de cuentas único para ACHS y filiales lo que permitió obtener reportes homogéneos, agilizando</w:t>
      </w:r>
      <w:r w:rsidR="00A90C16" w:rsidRPr="00A90C16">
        <w:rPr>
          <w:rFonts w:ascii="Arial" w:hAnsi="Arial"/>
          <w:lang w:val="es-ES_tradnl"/>
        </w:rPr>
        <w:t xml:space="preserve"> el proceso de consolidación.</w:t>
      </w:r>
    </w:p>
    <w:p w:rsidR="003F4AB0" w:rsidRDefault="003F4AB0" w:rsidP="003F4AB0">
      <w:pPr>
        <w:pStyle w:val="Prrafodelista"/>
        <w:ind w:left="284"/>
        <w:jc w:val="both"/>
        <w:rPr>
          <w:rFonts w:ascii="Arial" w:hAnsi="Arial"/>
          <w:lang w:val="es-ES_tradnl"/>
        </w:rPr>
      </w:pPr>
    </w:p>
    <w:p w:rsidR="006A420D" w:rsidRDefault="006A420D" w:rsidP="003F4AB0">
      <w:pPr>
        <w:pStyle w:val="Prrafodelista"/>
        <w:numPr>
          <w:ilvl w:val="0"/>
          <w:numId w:val="7"/>
        </w:numPr>
        <w:ind w:left="284" w:hanging="284"/>
        <w:jc w:val="both"/>
        <w:rPr>
          <w:rFonts w:ascii="Arial" w:hAnsi="Arial"/>
          <w:lang w:val="es-ES_tradnl"/>
        </w:rPr>
      </w:pPr>
      <w:r w:rsidRPr="003F4AB0">
        <w:rPr>
          <w:rFonts w:ascii="Arial" w:hAnsi="Arial"/>
          <w:lang w:val="es-ES_tradnl"/>
        </w:rPr>
        <w:t xml:space="preserve">Se crea una sección de </w:t>
      </w:r>
      <w:proofErr w:type="spellStart"/>
      <w:r w:rsidRPr="003F4AB0">
        <w:rPr>
          <w:rFonts w:ascii="Arial" w:hAnsi="Arial"/>
          <w:lang w:val="es-ES_tradnl"/>
        </w:rPr>
        <w:t>Tax</w:t>
      </w:r>
      <w:proofErr w:type="spellEnd"/>
      <w:r w:rsidR="005D5378" w:rsidRPr="003F4AB0">
        <w:rPr>
          <w:rFonts w:ascii="Arial" w:hAnsi="Arial"/>
          <w:lang w:val="es-ES_tradnl"/>
        </w:rPr>
        <w:t xml:space="preserve">, Unidad encargada de abordar íntegramente los aspectos impositivos de </w:t>
      </w:r>
      <w:r w:rsidRPr="003F4AB0">
        <w:rPr>
          <w:rFonts w:ascii="Arial" w:hAnsi="Arial"/>
          <w:lang w:val="es-ES_tradnl"/>
        </w:rPr>
        <w:t>ACHS y filiales co</w:t>
      </w:r>
      <w:r w:rsidR="00495B8A" w:rsidRPr="003F4AB0">
        <w:rPr>
          <w:rFonts w:ascii="Arial" w:hAnsi="Arial"/>
          <w:lang w:val="es-ES_tradnl"/>
        </w:rPr>
        <w:t xml:space="preserve">n el objeto de concentrar en una </w:t>
      </w:r>
      <w:r w:rsidRPr="003F4AB0">
        <w:rPr>
          <w:rFonts w:ascii="Arial" w:hAnsi="Arial"/>
          <w:lang w:val="es-ES_tradnl"/>
        </w:rPr>
        <w:t xml:space="preserve">sola unidad todos los temas </w:t>
      </w:r>
      <w:r w:rsidR="005D5378" w:rsidRPr="003F4AB0">
        <w:rPr>
          <w:rFonts w:ascii="Arial" w:hAnsi="Arial"/>
          <w:lang w:val="es-ES_tradnl"/>
        </w:rPr>
        <w:t>relacionados con la tributación de esas empresas</w:t>
      </w:r>
      <w:r w:rsidR="00A90C16" w:rsidRPr="003F4AB0">
        <w:rPr>
          <w:rFonts w:ascii="Arial" w:hAnsi="Arial"/>
          <w:lang w:val="es-ES_tradnl"/>
        </w:rPr>
        <w:t>. Se preparan las declaraciones mensuales y anuales de impuestos y se aborda la afectación tributaria de nuevos negocios.</w:t>
      </w:r>
    </w:p>
    <w:p w:rsidR="003F4AB0" w:rsidRPr="003F4AB0" w:rsidRDefault="003F4AB0" w:rsidP="003F4AB0">
      <w:pPr>
        <w:pStyle w:val="Prrafodelista"/>
        <w:rPr>
          <w:rFonts w:ascii="Arial" w:hAnsi="Arial"/>
          <w:lang w:val="es-ES_tradnl"/>
        </w:rPr>
      </w:pPr>
    </w:p>
    <w:p w:rsidR="005D5378" w:rsidRDefault="005D5378" w:rsidP="003F4AB0">
      <w:pPr>
        <w:pStyle w:val="Prrafodelista"/>
        <w:numPr>
          <w:ilvl w:val="0"/>
          <w:numId w:val="7"/>
        </w:numPr>
        <w:ind w:left="284" w:hanging="284"/>
        <w:jc w:val="both"/>
        <w:rPr>
          <w:rFonts w:ascii="Arial" w:hAnsi="Arial"/>
          <w:lang w:val="es-ES_tradnl"/>
        </w:rPr>
      </w:pPr>
      <w:r w:rsidRPr="003F4AB0">
        <w:rPr>
          <w:rFonts w:ascii="Arial" w:hAnsi="Arial"/>
          <w:lang w:val="es-ES_tradnl"/>
        </w:rPr>
        <w:t>Lo anterior permitió agilizar los procesos de fiscalización que tenían en curso las sociedades, uniformar los criterios de determinación de la renta imponible de ellas y, por otra parte, anticiparse a los efectos tributarios antes de tomar nuevos negocios o productos.</w:t>
      </w:r>
    </w:p>
    <w:p w:rsidR="003F4AB0" w:rsidRPr="003F4AB0" w:rsidRDefault="003F4AB0" w:rsidP="003F4AB0">
      <w:pPr>
        <w:pStyle w:val="Prrafodelista"/>
        <w:rPr>
          <w:rFonts w:ascii="Arial" w:hAnsi="Arial"/>
          <w:lang w:val="es-ES_tradnl"/>
        </w:rPr>
      </w:pPr>
    </w:p>
    <w:p w:rsidR="00A90C16" w:rsidRPr="003F4AB0" w:rsidRDefault="00A90C16" w:rsidP="003F4AB0">
      <w:pPr>
        <w:pStyle w:val="Prrafodelista"/>
        <w:numPr>
          <w:ilvl w:val="0"/>
          <w:numId w:val="7"/>
        </w:numPr>
        <w:ind w:left="284" w:hanging="284"/>
        <w:jc w:val="both"/>
        <w:rPr>
          <w:rFonts w:ascii="Arial" w:hAnsi="Arial"/>
          <w:lang w:val="es-ES_tradnl"/>
        </w:rPr>
      </w:pPr>
      <w:r w:rsidRPr="003F4AB0">
        <w:rPr>
          <w:rFonts w:ascii="Arial" w:hAnsi="Arial"/>
          <w:lang w:val="es-ES_tradnl"/>
        </w:rPr>
        <w:t>Con la implementación de SAP</w:t>
      </w:r>
      <w:r w:rsidR="00495B8A" w:rsidRPr="003F4AB0">
        <w:rPr>
          <w:rFonts w:ascii="Arial" w:hAnsi="Arial"/>
          <w:lang w:val="es-ES_tradnl"/>
        </w:rPr>
        <w:t>,</w:t>
      </w:r>
      <w:r w:rsidRPr="003F4AB0">
        <w:rPr>
          <w:rFonts w:ascii="Arial" w:hAnsi="Arial"/>
          <w:lang w:val="es-ES_tradnl"/>
        </w:rPr>
        <w:t xml:space="preserve"> se toma el control y ejecución de la contabilidad de todas las filiales de ACHS (11 empresas en total)</w:t>
      </w:r>
      <w:r w:rsidR="003F4AB0">
        <w:rPr>
          <w:rFonts w:ascii="Arial" w:hAnsi="Arial"/>
          <w:lang w:val="es-ES_tradnl"/>
        </w:rPr>
        <w:t>, pasando a</w:t>
      </w:r>
      <w:r w:rsidR="006545B9" w:rsidRPr="003F4AB0">
        <w:rPr>
          <w:rFonts w:ascii="Arial" w:hAnsi="Arial"/>
          <w:lang w:val="es-ES_tradnl"/>
        </w:rPr>
        <w:t xml:space="preserve"> tener todas estas sociedades bajo un solo mismo sistema computacional</w:t>
      </w:r>
    </w:p>
    <w:p w:rsidR="00A90C16" w:rsidRDefault="00A90C16" w:rsidP="00A90C16">
      <w:pPr>
        <w:ind w:left="284" w:hanging="284"/>
        <w:jc w:val="both"/>
        <w:rPr>
          <w:rFonts w:ascii="Arial" w:hAnsi="Arial"/>
          <w:lang w:val="es-ES_tradnl"/>
        </w:rPr>
      </w:pPr>
    </w:p>
    <w:p w:rsidR="003F4AB0" w:rsidRPr="003F4AB0" w:rsidRDefault="00A90C16" w:rsidP="003F4AB0">
      <w:pPr>
        <w:pStyle w:val="Prrafodelista"/>
        <w:numPr>
          <w:ilvl w:val="0"/>
          <w:numId w:val="7"/>
        </w:numPr>
        <w:ind w:left="284" w:hanging="284"/>
        <w:jc w:val="both"/>
        <w:rPr>
          <w:rFonts w:ascii="Arial" w:hAnsi="Arial"/>
          <w:lang w:val="es-ES_tradnl"/>
        </w:rPr>
      </w:pPr>
      <w:r w:rsidRPr="003F4AB0">
        <w:rPr>
          <w:rFonts w:ascii="Arial" w:hAnsi="Arial"/>
          <w:lang w:val="es-ES_tradnl"/>
        </w:rPr>
        <w:t xml:space="preserve">Mediante un trabajo conjunto con los jefes de cada sección, </w:t>
      </w:r>
      <w:r w:rsidR="003F4AB0" w:rsidRPr="003F4AB0">
        <w:rPr>
          <w:rFonts w:ascii="Arial" w:hAnsi="Arial"/>
          <w:lang w:val="es-ES_tradnl"/>
        </w:rPr>
        <w:t xml:space="preserve">se realizan </w:t>
      </w:r>
      <w:r w:rsidRPr="003F4AB0">
        <w:rPr>
          <w:rFonts w:ascii="Arial" w:hAnsi="Arial"/>
          <w:lang w:val="es-ES_tradnl"/>
        </w:rPr>
        <w:t xml:space="preserve">actividades </w:t>
      </w:r>
      <w:r w:rsidR="003F4AB0">
        <w:rPr>
          <w:rFonts w:ascii="Arial" w:hAnsi="Arial"/>
          <w:lang w:val="es-ES_tradnl"/>
        </w:rPr>
        <w:t xml:space="preserve">grupales de carácter informal, </w:t>
      </w:r>
      <w:r w:rsidRPr="003F4AB0">
        <w:rPr>
          <w:rFonts w:ascii="Arial" w:hAnsi="Arial"/>
          <w:lang w:val="es-ES_tradnl"/>
        </w:rPr>
        <w:t>dentro del Departamento de Contabilidad</w:t>
      </w:r>
      <w:r w:rsidR="005D5378" w:rsidRPr="003F4AB0">
        <w:rPr>
          <w:rFonts w:ascii="Arial" w:hAnsi="Arial"/>
          <w:lang w:val="es-ES_tradnl"/>
        </w:rPr>
        <w:t>,</w:t>
      </w:r>
      <w:r w:rsidR="003F4AB0">
        <w:rPr>
          <w:rFonts w:ascii="Arial" w:hAnsi="Arial"/>
          <w:lang w:val="es-ES_tradnl"/>
        </w:rPr>
        <w:t xml:space="preserve"> lo que</w:t>
      </w:r>
      <w:r w:rsidR="003F4AB0" w:rsidRPr="003F4AB0">
        <w:rPr>
          <w:rFonts w:ascii="Arial" w:hAnsi="Arial"/>
          <w:lang w:val="es-ES_tradnl"/>
        </w:rPr>
        <w:t xml:space="preserve"> permitió en el último año (2017)</w:t>
      </w:r>
      <w:r w:rsidR="003F4AB0">
        <w:rPr>
          <w:rFonts w:ascii="Arial" w:hAnsi="Arial"/>
          <w:lang w:val="es-ES_tradnl"/>
        </w:rPr>
        <w:t>,</w:t>
      </w:r>
      <w:r w:rsidR="003F4AB0" w:rsidRPr="003F4AB0">
        <w:rPr>
          <w:rFonts w:ascii="Arial" w:hAnsi="Arial"/>
          <w:lang w:val="es-ES_tradnl"/>
        </w:rPr>
        <w:t xml:space="preserve"> </w:t>
      </w:r>
      <w:r w:rsidR="003F4AB0">
        <w:rPr>
          <w:rFonts w:ascii="Arial" w:hAnsi="Arial"/>
          <w:lang w:val="es-ES_tradnl"/>
        </w:rPr>
        <w:t>mejorar el Clima laboral en</w:t>
      </w:r>
      <w:r w:rsidR="003F4AB0" w:rsidRPr="003F4AB0">
        <w:rPr>
          <w:rFonts w:ascii="Arial" w:hAnsi="Arial"/>
          <w:lang w:val="es-ES_tradnl"/>
        </w:rPr>
        <w:t xml:space="preserve"> un 90% de satisfacción.</w:t>
      </w:r>
    </w:p>
    <w:p w:rsidR="00D24413" w:rsidRDefault="00D24413">
      <w:pPr>
        <w:jc w:val="both"/>
        <w:rPr>
          <w:rFonts w:ascii="Arial" w:hAnsi="Arial"/>
          <w:lang w:val="es-ES_tradnl"/>
        </w:rPr>
      </w:pPr>
    </w:p>
    <w:p w:rsidR="00955541" w:rsidRDefault="00955541">
      <w:pPr>
        <w:jc w:val="both"/>
        <w:rPr>
          <w:rFonts w:ascii="Arial" w:hAnsi="Arial"/>
          <w:lang w:val="es-ES_tradnl"/>
        </w:rPr>
      </w:pPr>
    </w:p>
    <w:p w:rsidR="002564BF" w:rsidRDefault="002564BF">
      <w:pPr>
        <w:jc w:val="both"/>
        <w:rPr>
          <w:rFonts w:ascii="Arial" w:hAnsi="Arial"/>
          <w:lang w:val="es-ES_tradnl"/>
        </w:rPr>
      </w:pPr>
    </w:p>
    <w:p w:rsidR="00723AEB" w:rsidRPr="005038D0" w:rsidRDefault="00723AEB" w:rsidP="005038D0">
      <w:pPr>
        <w:tabs>
          <w:tab w:val="right" w:pos="8364"/>
        </w:tabs>
        <w:jc w:val="both"/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>Embotelladora Andina S.A.</w:t>
      </w:r>
      <w:r w:rsidRPr="005038D0">
        <w:rPr>
          <w:rFonts w:ascii="Arial" w:hAnsi="Arial"/>
          <w:b/>
          <w:lang w:val="es-ES_tradnl"/>
        </w:rPr>
        <w:tab/>
        <w:t xml:space="preserve">(1996 </w:t>
      </w:r>
      <w:r w:rsidR="00397EE1" w:rsidRPr="005038D0">
        <w:rPr>
          <w:rFonts w:ascii="Arial" w:hAnsi="Arial"/>
          <w:b/>
          <w:lang w:val="es-ES_tradnl"/>
        </w:rPr>
        <w:t>-</w:t>
      </w:r>
      <w:r w:rsidR="00240AD5" w:rsidRPr="005038D0">
        <w:rPr>
          <w:rFonts w:ascii="Arial" w:hAnsi="Arial"/>
          <w:b/>
          <w:lang w:val="es-ES_tradnl"/>
        </w:rPr>
        <w:t xml:space="preserve"> 2014</w:t>
      </w:r>
      <w:r w:rsidRPr="005038D0">
        <w:rPr>
          <w:rFonts w:ascii="Arial" w:hAnsi="Arial"/>
          <w:b/>
          <w:lang w:val="es-ES_tradnl"/>
        </w:rPr>
        <w:t>)</w:t>
      </w:r>
    </w:p>
    <w:p w:rsidR="00723AEB" w:rsidRDefault="00723AEB" w:rsidP="00397EE1">
      <w:pPr>
        <w:pStyle w:val="Ttulo2"/>
        <w:ind w:left="0"/>
        <w:jc w:val="left"/>
      </w:pPr>
      <w:r>
        <w:t>Subgerente de Contabilidad</w:t>
      </w:r>
    </w:p>
    <w:p w:rsidR="00723AEB" w:rsidRDefault="00723AEB">
      <w:pPr>
        <w:jc w:val="both"/>
        <w:rPr>
          <w:rFonts w:ascii="Arial" w:hAnsi="Arial"/>
          <w:lang w:val="es-ES_tradnl"/>
        </w:rPr>
      </w:pPr>
    </w:p>
    <w:p w:rsidR="00723AEB" w:rsidRDefault="00397EE1">
      <w:pPr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Responsable de</w:t>
      </w:r>
      <w:r w:rsidR="00723AEB">
        <w:rPr>
          <w:rFonts w:ascii="Arial" w:hAnsi="Arial"/>
          <w:lang w:val="es-ES_tradnl"/>
        </w:rPr>
        <w:t xml:space="preserve"> la generación de </w:t>
      </w:r>
      <w:r w:rsidR="00A4533D">
        <w:rPr>
          <w:rFonts w:ascii="Arial" w:hAnsi="Arial"/>
          <w:lang w:val="es-ES_tradnl"/>
        </w:rPr>
        <w:t xml:space="preserve">toda </w:t>
      </w:r>
      <w:r w:rsidR="00723AEB">
        <w:rPr>
          <w:rFonts w:ascii="Arial" w:hAnsi="Arial"/>
          <w:lang w:val="es-ES_tradnl"/>
        </w:rPr>
        <w:t>la información Consolidada de la Sociedad, tanto en el ámbito de información legal</w:t>
      </w:r>
      <w:r w:rsidR="00C75F1F">
        <w:rPr>
          <w:rFonts w:ascii="Arial" w:hAnsi="Arial"/>
          <w:lang w:val="es-ES_tradnl"/>
        </w:rPr>
        <w:t xml:space="preserve"> bajo normas IFRS</w:t>
      </w:r>
      <w:r w:rsidR="00723AEB">
        <w:rPr>
          <w:rFonts w:ascii="Arial" w:hAnsi="Arial"/>
          <w:lang w:val="es-ES_tradnl"/>
        </w:rPr>
        <w:t xml:space="preserve"> (FECU, 20F, Memoria, etc.)</w:t>
      </w:r>
      <w:r w:rsidR="001D1AAC">
        <w:rPr>
          <w:rFonts w:ascii="Arial" w:hAnsi="Arial"/>
          <w:lang w:val="es-ES_tradnl"/>
        </w:rPr>
        <w:t>,</w:t>
      </w:r>
      <w:r w:rsidR="00723AEB">
        <w:rPr>
          <w:rFonts w:ascii="Arial" w:hAnsi="Arial"/>
          <w:lang w:val="es-ES_tradnl"/>
        </w:rPr>
        <w:t xml:space="preserve"> como en el </w:t>
      </w:r>
      <w:r w:rsidR="00FA123F">
        <w:rPr>
          <w:rFonts w:ascii="Arial" w:hAnsi="Arial"/>
          <w:lang w:val="es-ES_tradnl"/>
        </w:rPr>
        <w:t>ámbito de gestión y presupuesto.</w:t>
      </w:r>
      <w:r w:rsidR="00723AEB">
        <w:rPr>
          <w:rFonts w:ascii="Arial" w:hAnsi="Arial"/>
          <w:lang w:val="es-ES_tradnl"/>
        </w:rPr>
        <w:t xml:space="preserve"> </w:t>
      </w:r>
      <w:r w:rsidR="00FA123F">
        <w:rPr>
          <w:rFonts w:ascii="Arial" w:hAnsi="Arial"/>
          <w:lang w:val="es-ES_tradnl"/>
        </w:rPr>
        <w:t>P</w:t>
      </w:r>
      <w:r w:rsidR="00723AEB">
        <w:rPr>
          <w:rFonts w:ascii="Arial" w:hAnsi="Arial"/>
          <w:lang w:val="es-ES_tradnl"/>
        </w:rPr>
        <w:t xml:space="preserve">ara ello </w:t>
      </w:r>
      <w:r w:rsidR="000C503B">
        <w:rPr>
          <w:rFonts w:ascii="Arial" w:hAnsi="Arial"/>
          <w:lang w:val="es-ES_tradnl"/>
        </w:rPr>
        <w:t>desarrolló, entre otras, lo</w:t>
      </w:r>
      <w:r w:rsidR="00723AEB">
        <w:rPr>
          <w:rFonts w:ascii="Arial" w:hAnsi="Arial"/>
          <w:lang w:val="es-ES_tradnl"/>
        </w:rPr>
        <w:t xml:space="preserve"> siguiente:</w:t>
      </w:r>
    </w:p>
    <w:p w:rsidR="00723AEB" w:rsidRDefault="00723AEB">
      <w:pPr>
        <w:jc w:val="both"/>
        <w:rPr>
          <w:rFonts w:ascii="Arial" w:hAnsi="Arial"/>
          <w:lang w:val="es-ES_tradnl"/>
        </w:rPr>
      </w:pPr>
    </w:p>
    <w:p w:rsidR="00226E73" w:rsidRPr="005038D0" w:rsidRDefault="00226E73" w:rsidP="005038D0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/>
          <w:lang w:val="es-ES_tradnl"/>
        </w:rPr>
      </w:pPr>
      <w:r w:rsidRPr="005038D0">
        <w:rPr>
          <w:rFonts w:ascii="Arial" w:hAnsi="Arial"/>
          <w:lang w:val="es-ES_tradnl"/>
        </w:rPr>
        <w:t>Implementación y difusión de los modelos de reporte de la información financiera de las filiales de Andina para su posterior consolidación.</w:t>
      </w:r>
    </w:p>
    <w:p w:rsidR="00226E73" w:rsidRDefault="00226E73" w:rsidP="005038D0">
      <w:pPr>
        <w:ind w:left="284" w:hanging="284"/>
        <w:jc w:val="both"/>
        <w:rPr>
          <w:rFonts w:ascii="Arial" w:hAnsi="Arial"/>
          <w:lang w:val="es-ES_tradnl"/>
        </w:rPr>
      </w:pPr>
    </w:p>
    <w:p w:rsidR="00226E73" w:rsidRPr="005038D0" w:rsidRDefault="00226E73" w:rsidP="005038D0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/>
          <w:lang w:val="es-ES_tradnl"/>
        </w:rPr>
      </w:pPr>
      <w:r w:rsidRPr="005038D0">
        <w:rPr>
          <w:rFonts w:ascii="Arial" w:hAnsi="Arial"/>
          <w:lang w:val="es-ES_tradnl"/>
        </w:rPr>
        <w:t>Llevar a cabo un plan para optimizar los tiempos de reporte de la información y de entrega de los resultados consolidados de la Compañía, que permitió acortarl</w:t>
      </w:r>
      <w:r w:rsidR="003F4AB0">
        <w:rPr>
          <w:rFonts w:ascii="Arial" w:hAnsi="Arial"/>
          <w:lang w:val="es-ES_tradnl"/>
        </w:rPr>
        <w:t>os desde el vigésimo día al 2°</w:t>
      </w:r>
      <w:r w:rsidRPr="005038D0">
        <w:rPr>
          <w:rFonts w:ascii="Arial" w:hAnsi="Arial"/>
          <w:lang w:val="es-ES_tradnl"/>
        </w:rPr>
        <w:t xml:space="preserve"> día hábil, en el caso del resultado operacional </w:t>
      </w:r>
      <w:r w:rsidR="003F4AB0">
        <w:rPr>
          <w:rFonts w:ascii="Arial" w:hAnsi="Arial"/>
          <w:lang w:val="es-ES_tradnl"/>
        </w:rPr>
        <w:t>consolidado, y al 5°</w:t>
      </w:r>
      <w:r w:rsidRPr="005038D0">
        <w:rPr>
          <w:rFonts w:ascii="Arial" w:hAnsi="Arial"/>
          <w:lang w:val="es-ES_tradnl"/>
        </w:rPr>
        <w:t xml:space="preserve"> día hábil</w:t>
      </w:r>
      <w:r w:rsidR="003F4AB0">
        <w:rPr>
          <w:rFonts w:ascii="Arial" w:hAnsi="Arial"/>
          <w:lang w:val="es-ES_tradnl"/>
        </w:rPr>
        <w:t>,</w:t>
      </w:r>
      <w:r w:rsidRPr="005038D0">
        <w:rPr>
          <w:rFonts w:ascii="Arial" w:hAnsi="Arial"/>
          <w:lang w:val="es-ES_tradnl"/>
        </w:rPr>
        <w:t xml:space="preserve"> en el caso del resultado final consolidado.</w:t>
      </w:r>
    </w:p>
    <w:p w:rsidR="00226E73" w:rsidRDefault="00226E73" w:rsidP="005038D0">
      <w:pPr>
        <w:ind w:left="284" w:hanging="284"/>
        <w:jc w:val="both"/>
        <w:rPr>
          <w:rFonts w:ascii="Arial" w:hAnsi="Arial"/>
          <w:lang w:val="es-ES_tradnl"/>
        </w:rPr>
      </w:pPr>
    </w:p>
    <w:p w:rsidR="00C75F1F" w:rsidRPr="005038D0" w:rsidRDefault="00C75F1F" w:rsidP="005038D0">
      <w:pPr>
        <w:pStyle w:val="Prrafodelista"/>
        <w:numPr>
          <w:ilvl w:val="0"/>
          <w:numId w:val="6"/>
        </w:numPr>
        <w:ind w:left="284" w:hanging="284"/>
        <w:jc w:val="both"/>
        <w:rPr>
          <w:rFonts w:ascii="Arial" w:hAnsi="Arial"/>
          <w:lang w:val="es-ES_tradnl"/>
        </w:rPr>
      </w:pPr>
      <w:r w:rsidRPr="005038D0">
        <w:rPr>
          <w:rFonts w:ascii="Arial" w:hAnsi="Arial"/>
          <w:lang w:val="es-ES_tradnl"/>
        </w:rPr>
        <w:t>Difundir y exigir a las filiales la aplicación de las normas contables</w:t>
      </w:r>
      <w:r w:rsidR="00DD2FBD" w:rsidRPr="005038D0">
        <w:rPr>
          <w:rFonts w:ascii="Arial" w:hAnsi="Arial"/>
          <w:lang w:val="es-ES_tradnl"/>
        </w:rPr>
        <w:t xml:space="preserve"> bajo IFRS</w:t>
      </w:r>
      <w:r w:rsidRPr="005038D0">
        <w:rPr>
          <w:rFonts w:ascii="Arial" w:hAnsi="Arial"/>
          <w:lang w:val="es-ES_tradnl"/>
        </w:rPr>
        <w:t xml:space="preserve">, </w:t>
      </w:r>
      <w:r w:rsidR="00DD2FBD" w:rsidRPr="005038D0">
        <w:rPr>
          <w:rFonts w:ascii="Arial" w:hAnsi="Arial"/>
          <w:lang w:val="es-ES_tradnl"/>
        </w:rPr>
        <w:t>para permitir y asegurar la uniformidad de la información financiera remitida a la casa matriz.</w:t>
      </w:r>
    </w:p>
    <w:p w:rsidR="00DD2FBD" w:rsidRDefault="00DD2FBD">
      <w:pPr>
        <w:jc w:val="both"/>
        <w:rPr>
          <w:rFonts w:ascii="Arial" w:hAnsi="Arial"/>
          <w:lang w:val="es-ES_tradnl"/>
        </w:rPr>
      </w:pPr>
    </w:p>
    <w:p w:rsidR="00723AEB" w:rsidRDefault="00723AEB">
      <w:pPr>
        <w:jc w:val="both"/>
        <w:rPr>
          <w:rFonts w:ascii="Arial" w:hAnsi="Arial"/>
          <w:lang w:val="es-ES_tradnl"/>
        </w:rPr>
      </w:pPr>
    </w:p>
    <w:p w:rsidR="00723AEB" w:rsidRPr="001D4672" w:rsidRDefault="00723AEB" w:rsidP="001D4672">
      <w:pPr>
        <w:tabs>
          <w:tab w:val="right" w:pos="8364"/>
        </w:tabs>
        <w:jc w:val="both"/>
        <w:rPr>
          <w:rFonts w:ascii="Arial" w:hAnsi="Arial"/>
          <w:b/>
          <w:lang w:val="es-ES_tradnl"/>
        </w:rPr>
      </w:pPr>
      <w:r>
        <w:rPr>
          <w:rFonts w:ascii="Arial" w:hAnsi="Arial"/>
          <w:b/>
          <w:lang w:val="es-ES_tradnl"/>
        </w:rPr>
        <w:t>Depósito Central de Valores S. A.</w:t>
      </w:r>
      <w:r w:rsidR="001D4672" w:rsidRPr="001D4672">
        <w:rPr>
          <w:rFonts w:ascii="Arial" w:hAnsi="Arial"/>
          <w:b/>
          <w:lang w:val="es-ES_tradnl"/>
        </w:rPr>
        <w:tab/>
        <w:t>(</w:t>
      </w:r>
      <w:r w:rsidRPr="001D4672">
        <w:rPr>
          <w:rFonts w:ascii="Arial" w:hAnsi="Arial"/>
          <w:b/>
          <w:lang w:val="es-ES_tradnl"/>
        </w:rPr>
        <w:t>1993</w:t>
      </w:r>
      <w:r w:rsidR="001D4672" w:rsidRPr="001D4672">
        <w:rPr>
          <w:rFonts w:ascii="Arial" w:hAnsi="Arial"/>
          <w:b/>
          <w:lang w:val="es-ES_tradnl"/>
        </w:rPr>
        <w:t xml:space="preserve"> -</w:t>
      </w:r>
      <w:r w:rsidRPr="001D4672">
        <w:rPr>
          <w:rFonts w:ascii="Arial" w:hAnsi="Arial"/>
          <w:b/>
          <w:lang w:val="es-ES_tradnl"/>
        </w:rPr>
        <w:t xml:space="preserve"> 1996)</w:t>
      </w:r>
      <w:r w:rsidRPr="001D4672">
        <w:rPr>
          <w:rFonts w:ascii="Arial" w:hAnsi="Arial"/>
          <w:b/>
          <w:lang w:val="es-ES_tradnl"/>
        </w:rPr>
        <w:tab/>
      </w:r>
    </w:p>
    <w:p w:rsidR="00723AEB" w:rsidRDefault="00723AEB" w:rsidP="00A90C16">
      <w:pPr>
        <w:pStyle w:val="Ttulo3"/>
        <w:ind w:left="0" w:firstLine="6"/>
        <w:jc w:val="left"/>
      </w:pPr>
      <w:r>
        <w:t>Auditor Jefe</w:t>
      </w:r>
    </w:p>
    <w:p w:rsidR="00723AEB" w:rsidRDefault="00723AEB">
      <w:pPr>
        <w:jc w:val="both"/>
        <w:rPr>
          <w:rFonts w:ascii="Arial" w:hAnsi="Arial"/>
          <w:lang w:val="es-ES_tradnl"/>
        </w:rPr>
      </w:pPr>
    </w:p>
    <w:p w:rsidR="00723AEB" w:rsidRDefault="001D4672">
      <w:pPr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Tiene</w:t>
      </w:r>
      <w:r w:rsidR="00723AEB">
        <w:rPr>
          <w:rFonts w:ascii="Arial" w:hAnsi="Arial"/>
          <w:lang w:val="es-ES_tradnl"/>
        </w:rPr>
        <w:t xml:space="preserve"> bajo su responsabilidad la organización contable de la Sociedad, tanto en el ámbito de la Superintendencia de Valores y Seguros (SVS) como de Impuestos Internos. Entre otras labores, se destacan la Iniciación de Actividades de la Sociedad ante los organismos fiscalizadores y la elaboración del Plan de cuentas para la Contabilidad de la misma.</w:t>
      </w:r>
    </w:p>
    <w:p w:rsidR="00723AEB" w:rsidRDefault="00723AEB">
      <w:pPr>
        <w:jc w:val="both"/>
        <w:rPr>
          <w:rFonts w:ascii="Arial" w:hAnsi="Arial"/>
          <w:lang w:val="es-ES_tradnl"/>
        </w:rPr>
      </w:pPr>
    </w:p>
    <w:p w:rsidR="00723AEB" w:rsidRDefault="00723AEB">
      <w:pPr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En el año 1995 es promovido al cargo de Auditor Jefe, reportando al Directorio de la Sociedad, donde le corresponde diseñar, implementar y aplicar los programas de auditoría, tanto a nivel operacional como de sistemas computacionales.</w:t>
      </w:r>
    </w:p>
    <w:p w:rsidR="00723AEB" w:rsidRDefault="00723AEB">
      <w:pPr>
        <w:jc w:val="both"/>
        <w:rPr>
          <w:rFonts w:ascii="Arial" w:hAnsi="Arial"/>
          <w:lang w:val="es-ES_tradnl"/>
        </w:rPr>
      </w:pPr>
    </w:p>
    <w:p w:rsidR="00CB1EE3" w:rsidRDefault="00CB1EE3">
      <w:pPr>
        <w:jc w:val="both"/>
        <w:rPr>
          <w:rFonts w:ascii="Arial" w:hAnsi="Arial"/>
          <w:lang w:val="es-ES_tradnl"/>
        </w:rPr>
      </w:pPr>
    </w:p>
    <w:p w:rsidR="00723AEB" w:rsidRPr="001D4672" w:rsidRDefault="00723AEB" w:rsidP="001D4672">
      <w:pPr>
        <w:tabs>
          <w:tab w:val="right" w:pos="8364"/>
        </w:tabs>
        <w:jc w:val="both"/>
        <w:rPr>
          <w:rFonts w:ascii="Arial" w:hAnsi="Arial"/>
          <w:b/>
          <w:lang w:val="en-US"/>
        </w:rPr>
      </w:pPr>
      <w:r w:rsidRPr="001D4672">
        <w:rPr>
          <w:rFonts w:ascii="Arial" w:hAnsi="Arial"/>
          <w:b/>
          <w:lang w:val="en-US"/>
        </w:rPr>
        <w:t>Citibank N. A.</w:t>
      </w:r>
      <w:r w:rsidR="001D4672" w:rsidRPr="001D4672">
        <w:rPr>
          <w:rFonts w:ascii="Arial" w:hAnsi="Arial"/>
          <w:b/>
          <w:lang w:val="en-US"/>
        </w:rPr>
        <w:tab/>
        <w:t>(1990 -</w:t>
      </w:r>
      <w:r w:rsidRPr="001D4672">
        <w:rPr>
          <w:rFonts w:ascii="Arial" w:hAnsi="Arial"/>
          <w:b/>
          <w:lang w:val="en-US"/>
        </w:rPr>
        <w:t xml:space="preserve"> 1993)</w:t>
      </w:r>
      <w:r w:rsidRPr="001D4672">
        <w:rPr>
          <w:rFonts w:ascii="Arial" w:hAnsi="Arial"/>
          <w:b/>
          <w:lang w:val="en-US"/>
        </w:rPr>
        <w:tab/>
      </w:r>
    </w:p>
    <w:p w:rsidR="00723AEB" w:rsidRPr="00F366D0" w:rsidRDefault="00723AEB" w:rsidP="001D4672">
      <w:pPr>
        <w:pStyle w:val="Ttulo3"/>
        <w:ind w:left="0" w:firstLine="6"/>
        <w:jc w:val="left"/>
        <w:rPr>
          <w:lang w:val="en-US"/>
        </w:rPr>
      </w:pPr>
      <w:r w:rsidRPr="00F366D0">
        <w:rPr>
          <w:lang w:val="en-US"/>
        </w:rPr>
        <w:t>Operation Production Manager</w:t>
      </w:r>
    </w:p>
    <w:p w:rsidR="00723AEB" w:rsidRPr="00F366D0" w:rsidRDefault="00723AEB">
      <w:pPr>
        <w:jc w:val="both"/>
        <w:rPr>
          <w:rFonts w:ascii="Arial" w:hAnsi="Arial"/>
          <w:lang w:val="en-US"/>
        </w:rPr>
      </w:pPr>
    </w:p>
    <w:p w:rsidR="00723AEB" w:rsidRDefault="001D4672">
      <w:pPr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>Tiene</w:t>
      </w:r>
      <w:r w:rsidR="00723AEB">
        <w:rPr>
          <w:rFonts w:ascii="Arial" w:hAnsi="Arial"/>
          <w:lang w:val="es-ES_tradnl"/>
        </w:rPr>
        <w:t xml:space="preserve"> bajo su responsabilidad la preparación de los estados financieros para la Superintendencia de Valores y Seguros, de las siguientes filiales del Banco:</w:t>
      </w:r>
    </w:p>
    <w:p w:rsidR="001D4672" w:rsidRDefault="001D4672">
      <w:pPr>
        <w:jc w:val="both"/>
        <w:rPr>
          <w:rFonts w:ascii="Arial" w:hAnsi="Arial"/>
          <w:lang w:val="es-ES_tradnl"/>
        </w:rPr>
      </w:pPr>
    </w:p>
    <w:p w:rsidR="00723AEB" w:rsidRPr="001D4672" w:rsidRDefault="00723AEB" w:rsidP="001D4672">
      <w:pPr>
        <w:pStyle w:val="Prrafodelista"/>
        <w:numPr>
          <w:ilvl w:val="0"/>
          <w:numId w:val="8"/>
        </w:numPr>
        <w:ind w:left="284" w:hanging="284"/>
        <w:jc w:val="both"/>
        <w:rPr>
          <w:rFonts w:ascii="Arial" w:hAnsi="Arial"/>
          <w:lang w:val="es-ES_tradnl"/>
        </w:rPr>
      </w:pPr>
      <w:r w:rsidRPr="001D4672">
        <w:rPr>
          <w:rFonts w:ascii="Arial" w:hAnsi="Arial"/>
          <w:lang w:val="es-ES_tradnl"/>
        </w:rPr>
        <w:t>Citicorp Chile S. A. Corredores de Bolsa</w:t>
      </w:r>
    </w:p>
    <w:p w:rsidR="00723AEB" w:rsidRPr="001D4672" w:rsidRDefault="00723AEB" w:rsidP="001D4672">
      <w:pPr>
        <w:pStyle w:val="Prrafodelista"/>
        <w:numPr>
          <w:ilvl w:val="0"/>
          <w:numId w:val="8"/>
        </w:numPr>
        <w:ind w:left="284" w:hanging="284"/>
        <w:jc w:val="both"/>
        <w:rPr>
          <w:rFonts w:ascii="Arial" w:hAnsi="Arial"/>
          <w:lang w:val="es-ES_tradnl"/>
        </w:rPr>
      </w:pPr>
      <w:r w:rsidRPr="001D4672">
        <w:rPr>
          <w:rFonts w:ascii="Arial" w:hAnsi="Arial"/>
          <w:lang w:val="es-ES_tradnl"/>
        </w:rPr>
        <w:t>Citicopr Chile S. A. Agente de Valores</w:t>
      </w:r>
    </w:p>
    <w:p w:rsidR="00723AEB" w:rsidRPr="001D4672" w:rsidRDefault="00723AEB" w:rsidP="001D4672">
      <w:pPr>
        <w:pStyle w:val="Prrafodelista"/>
        <w:numPr>
          <w:ilvl w:val="0"/>
          <w:numId w:val="8"/>
        </w:numPr>
        <w:ind w:left="284" w:hanging="284"/>
        <w:jc w:val="both"/>
        <w:rPr>
          <w:rFonts w:ascii="Arial" w:hAnsi="Arial"/>
          <w:lang w:val="es-ES_tradnl"/>
        </w:rPr>
      </w:pPr>
      <w:r w:rsidRPr="001D4672">
        <w:rPr>
          <w:rFonts w:ascii="Arial" w:hAnsi="Arial"/>
          <w:lang w:val="es-ES_tradnl"/>
        </w:rPr>
        <w:t>Citicorp Chile S. A. Administradora de Fondos Mutuos</w:t>
      </w:r>
      <w:r w:rsidR="00F309F9">
        <w:rPr>
          <w:rFonts w:ascii="Arial" w:hAnsi="Arial"/>
          <w:lang w:val="es-ES_tradnl"/>
        </w:rPr>
        <w:t xml:space="preserve"> (4 Fondos Mutuos)</w:t>
      </w:r>
    </w:p>
    <w:p w:rsidR="00723AEB" w:rsidRPr="001D4672" w:rsidRDefault="00723AEB" w:rsidP="001D4672">
      <w:pPr>
        <w:pStyle w:val="Prrafodelista"/>
        <w:numPr>
          <w:ilvl w:val="0"/>
          <w:numId w:val="8"/>
        </w:numPr>
        <w:ind w:left="284" w:hanging="284"/>
        <w:jc w:val="both"/>
        <w:rPr>
          <w:rFonts w:ascii="Arial" w:hAnsi="Arial"/>
          <w:lang w:val="es-ES_tradnl"/>
        </w:rPr>
      </w:pPr>
      <w:r w:rsidRPr="001D4672">
        <w:rPr>
          <w:rFonts w:ascii="Arial" w:hAnsi="Arial"/>
          <w:lang w:val="es-ES_tradnl"/>
        </w:rPr>
        <w:t>Citicorp Chile S. A. Administradora de Fondos de Inversión</w:t>
      </w:r>
    </w:p>
    <w:p w:rsidR="00723AEB" w:rsidRDefault="00723AEB">
      <w:pPr>
        <w:jc w:val="both"/>
        <w:rPr>
          <w:rFonts w:ascii="Arial" w:hAnsi="Arial"/>
          <w:lang w:val="es-ES_tradnl"/>
        </w:rPr>
      </w:pPr>
    </w:p>
    <w:p w:rsidR="0051291D" w:rsidRDefault="0051291D">
      <w:pPr>
        <w:jc w:val="both"/>
        <w:rPr>
          <w:rFonts w:ascii="Arial" w:hAnsi="Arial"/>
          <w:lang w:val="es-ES_tradnl"/>
        </w:rPr>
      </w:pPr>
    </w:p>
    <w:p w:rsidR="00723AEB" w:rsidRPr="001D4672" w:rsidRDefault="00461A3F" w:rsidP="001D4672">
      <w:pPr>
        <w:tabs>
          <w:tab w:val="right" w:pos="8364"/>
        </w:tabs>
        <w:jc w:val="both"/>
        <w:rPr>
          <w:rFonts w:ascii="Arial" w:hAnsi="Arial"/>
          <w:b/>
        </w:rPr>
      </w:pPr>
      <w:r w:rsidRPr="001D4672">
        <w:rPr>
          <w:rFonts w:ascii="Arial" w:hAnsi="Arial"/>
          <w:b/>
        </w:rPr>
        <w:t>Langton Clarke y Cía. Ltda.</w:t>
      </w:r>
      <w:r w:rsidRPr="001D4672">
        <w:rPr>
          <w:rFonts w:ascii="Arial" w:hAnsi="Arial"/>
          <w:b/>
        </w:rPr>
        <w:tab/>
      </w:r>
      <w:r w:rsidR="001D4672" w:rsidRPr="001D4672">
        <w:rPr>
          <w:rFonts w:ascii="Arial" w:hAnsi="Arial"/>
          <w:b/>
        </w:rPr>
        <w:t>(1986 -</w:t>
      </w:r>
      <w:r w:rsidR="00723AEB" w:rsidRPr="001D4672">
        <w:rPr>
          <w:rFonts w:ascii="Arial" w:hAnsi="Arial"/>
          <w:b/>
        </w:rPr>
        <w:t xml:space="preserve"> 1990)</w:t>
      </w:r>
    </w:p>
    <w:p w:rsidR="00723AEB" w:rsidRDefault="00723AEB" w:rsidP="001D4672">
      <w:pPr>
        <w:pStyle w:val="Ttulo3"/>
        <w:ind w:left="0" w:firstLine="6"/>
        <w:jc w:val="left"/>
      </w:pPr>
      <w:r>
        <w:t>Senior de Auditoría</w:t>
      </w:r>
    </w:p>
    <w:p w:rsidR="00723AEB" w:rsidRDefault="00723AEB">
      <w:pPr>
        <w:jc w:val="both"/>
        <w:rPr>
          <w:rFonts w:ascii="Arial" w:hAnsi="Arial"/>
          <w:lang w:val="es-ES_tradnl"/>
        </w:rPr>
      </w:pPr>
    </w:p>
    <w:p w:rsidR="00723AEB" w:rsidRDefault="001D4672">
      <w:pPr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Se desempeña en el </w:t>
      </w:r>
      <w:r w:rsidR="00723AEB">
        <w:rPr>
          <w:rFonts w:ascii="Arial" w:hAnsi="Arial"/>
          <w:lang w:val="es-ES_tradnl"/>
        </w:rPr>
        <w:t>departamento de Auditoría Externa, como Staff de auditoría, llegando al nivel de Senior (Encargado) de Auditoría, teniendo a su cargo las siguientes empresas:</w:t>
      </w:r>
    </w:p>
    <w:p w:rsidR="00723AEB" w:rsidRDefault="00723AEB">
      <w:pPr>
        <w:jc w:val="both"/>
        <w:rPr>
          <w:rFonts w:ascii="Arial" w:hAnsi="Arial"/>
          <w:lang w:val="es-ES_tradnl"/>
        </w:rPr>
      </w:pPr>
    </w:p>
    <w:p w:rsidR="00723AEB" w:rsidRDefault="00723AEB" w:rsidP="001D4672">
      <w:pPr>
        <w:pStyle w:val="Prrafodelista"/>
        <w:numPr>
          <w:ilvl w:val="0"/>
          <w:numId w:val="8"/>
        </w:numPr>
        <w:ind w:left="284" w:hanging="284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Grupo de empresas Citibank N. A. y sus filiales </w:t>
      </w:r>
      <w:r w:rsidR="00F309F9">
        <w:rPr>
          <w:rFonts w:ascii="Arial" w:hAnsi="Arial"/>
          <w:lang w:val="es-ES_tradnl"/>
        </w:rPr>
        <w:t>(6 empresas)</w:t>
      </w:r>
    </w:p>
    <w:p w:rsidR="00723AEB" w:rsidRDefault="00723AEB" w:rsidP="001D4672">
      <w:pPr>
        <w:pStyle w:val="Prrafodelista"/>
        <w:numPr>
          <w:ilvl w:val="0"/>
          <w:numId w:val="8"/>
        </w:numPr>
        <w:ind w:left="284" w:hanging="284"/>
        <w:jc w:val="both"/>
        <w:rPr>
          <w:rFonts w:ascii="Arial" w:hAnsi="Arial"/>
          <w:lang w:val="es-ES_tradnl"/>
        </w:rPr>
      </w:pPr>
      <w:proofErr w:type="spellStart"/>
      <w:r>
        <w:rPr>
          <w:rFonts w:ascii="Arial" w:hAnsi="Arial"/>
          <w:lang w:val="es-ES_tradnl"/>
        </w:rPr>
        <w:t>Somela</w:t>
      </w:r>
      <w:proofErr w:type="spellEnd"/>
      <w:r>
        <w:rPr>
          <w:rFonts w:ascii="Arial" w:hAnsi="Arial"/>
          <w:lang w:val="es-ES_tradnl"/>
        </w:rPr>
        <w:t xml:space="preserve"> S. A.</w:t>
      </w:r>
    </w:p>
    <w:p w:rsidR="00723AEB" w:rsidRDefault="00723AEB" w:rsidP="001D4672">
      <w:pPr>
        <w:pStyle w:val="Prrafodelista"/>
        <w:numPr>
          <w:ilvl w:val="0"/>
          <w:numId w:val="8"/>
        </w:numPr>
        <w:ind w:left="284" w:hanging="284"/>
        <w:jc w:val="both"/>
        <w:rPr>
          <w:rFonts w:ascii="Arial" w:hAnsi="Arial"/>
          <w:lang w:val="es-ES_tradnl"/>
        </w:rPr>
      </w:pPr>
      <w:proofErr w:type="spellStart"/>
      <w:r>
        <w:rPr>
          <w:rFonts w:ascii="Arial" w:hAnsi="Arial"/>
          <w:lang w:val="es-ES_tradnl"/>
        </w:rPr>
        <w:t>Husa</w:t>
      </w:r>
      <w:proofErr w:type="spellEnd"/>
      <w:r>
        <w:rPr>
          <w:rFonts w:ascii="Arial" w:hAnsi="Arial"/>
          <w:lang w:val="es-ES_tradnl"/>
        </w:rPr>
        <w:t xml:space="preserve"> Hoteles S. A.</w:t>
      </w:r>
    </w:p>
    <w:p w:rsidR="00723AEB" w:rsidRDefault="00723AEB" w:rsidP="001D4672">
      <w:pPr>
        <w:pStyle w:val="Prrafodelista"/>
        <w:numPr>
          <w:ilvl w:val="0"/>
          <w:numId w:val="8"/>
        </w:numPr>
        <w:ind w:left="284" w:hanging="284"/>
        <w:jc w:val="both"/>
        <w:rPr>
          <w:rFonts w:ascii="Arial" w:hAnsi="Arial"/>
          <w:lang w:val="es-ES_tradnl"/>
        </w:rPr>
      </w:pPr>
      <w:r>
        <w:rPr>
          <w:rFonts w:ascii="Arial" w:hAnsi="Arial"/>
          <w:lang w:val="es-ES_tradnl"/>
        </w:rPr>
        <w:t xml:space="preserve">Sociedad Nacional de Agricultura </w:t>
      </w:r>
      <w:r w:rsidR="003F4AB0">
        <w:rPr>
          <w:rFonts w:ascii="Arial" w:hAnsi="Arial"/>
          <w:lang w:val="es-ES_tradnl"/>
        </w:rPr>
        <w:t>–</w:t>
      </w:r>
      <w:r>
        <w:rPr>
          <w:rFonts w:ascii="Arial" w:hAnsi="Arial"/>
          <w:lang w:val="es-ES_tradnl"/>
        </w:rPr>
        <w:t xml:space="preserve"> SNA</w:t>
      </w:r>
    </w:p>
    <w:p w:rsidR="003F4AB0" w:rsidRDefault="003F4AB0" w:rsidP="003F4AB0">
      <w:pPr>
        <w:jc w:val="both"/>
        <w:rPr>
          <w:rFonts w:ascii="Arial" w:hAnsi="Arial"/>
          <w:lang w:val="es-ES_tradnl"/>
        </w:rPr>
      </w:pPr>
    </w:p>
    <w:p w:rsidR="002564BF" w:rsidRDefault="002564BF" w:rsidP="003F4AB0">
      <w:pPr>
        <w:jc w:val="both"/>
        <w:rPr>
          <w:rFonts w:ascii="Arial" w:hAnsi="Arial"/>
          <w:lang w:val="es-ES_tradnl"/>
        </w:rPr>
      </w:pPr>
    </w:p>
    <w:p w:rsidR="003F4AB0" w:rsidRDefault="003F4AB0" w:rsidP="003F4AB0">
      <w:pPr>
        <w:jc w:val="both"/>
        <w:rPr>
          <w:rFonts w:ascii="Arial" w:hAnsi="Arial"/>
          <w:b/>
          <w:lang w:val="es-ES_tradnl"/>
        </w:rPr>
      </w:pPr>
      <w:r w:rsidRPr="003F4AB0">
        <w:rPr>
          <w:rFonts w:ascii="Arial" w:hAnsi="Arial"/>
          <w:b/>
          <w:lang w:val="es-ES_tradnl"/>
        </w:rPr>
        <w:t>Educa</w:t>
      </w:r>
      <w:r>
        <w:rPr>
          <w:rFonts w:ascii="Arial" w:hAnsi="Arial"/>
          <w:b/>
          <w:lang w:val="es-ES_tradnl"/>
        </w:rPr>
        <w:t>ción</w:t>
      </w:r>
    </w:p>
    <w:p w:rsidR="003F4AB0" w:rsidRDefault="003F4AB0" w:rsidP="003F4AB0">
      <w:pPr>
        <w:jc w:val="both"/>
        <w:rPr>
          <w:rFonts w:ascii="Arial" w:hAnsi="Arial"/>
          <w:b/>
          <w:lang w:val="es-ES_tradnl"/>
        </w:rPr>
      </w:pPr>
    </w:p>
    <w:p w:rsidR="00723AEB" w:rsidRPr="002564BF" w:rsidRDefault="003F4AB0">
      <w:pPr>
        <w:jc w:val="both"/>
        <w:rPr>
          <w:rFonts w:ascii="Arial" w:hAnsi="Arial"/>
          <w:lang w:val="es-ES_tradnl"/>
        </w:rPr>
      </w:pPr>
      <w:r w:rsidRPr="003F4AB0">
        <w:rPr>
          <w:rFonts w:ascii="Arial" w:hAnsi="Arial"/>
          <w:lang w:val="es-ES_tradnl"/>
        </w:rPr>
        <w:lastRenderedPageBreak/>
        <w:t xml:space="preserve">Contador Público y Auditor Universidad de Santiago </w:t>
      </w:r>
      <w:r>
        <w:rPr>
          <w:rFonts w:ascii="Arial" w:hAnsi="Arial"/>
          <w:lang w:val="es-ES_tradnl"/>
        </w:rPr>
        <w:tab/>
        <w:t>1982-1987</w:t>
      </w:r>
    </w:p>
    <w:sectPr w:rsidR="00723AEB" w:rsidRPr="002564BF">
      <w:pgSz w:w="12242" w:h="15842" w:code="1"/>
      <w:pgMar w:top="851" w:right="1701" w:bottom="1134" w:left="1985" w:header="737" w:footer="73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C9A"/>
    <w:multiLevelType w:val="hybridMultilevel"/>
    <w:tmpl w:val="45B46C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E4B65"/>
    <w:multiLevelType w:val="hybridMultilevel"/>
    <w:tmpl w:val="62862A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B55CA"/>
    <w:multiLevelType w:val="hybridMultilevel"/>
    <w:tmpl w:val="DD6E72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A03F9"/>
    <w:multiLevelType w:val="singleLevel"/>
    <w:tmpl w:val="C4B2852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CC77E9E"/>
    <w:multiLevelType w:val="singleLevel"/>
    <w:tmpl w:val="6C30D5A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5">
    <w:nsid w:val="40E72B2A"/>
    <w:multiLevelType w:val="singleLevel"/>
    <w:tmpl w:val="28F49C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8442E43"/>
    <w:multiLevelType w:val="singleLevel"/>
    <w:tmpl w:val="C4B285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7BDB4F9C"/>
    <w:multiLevelType w:val="hybridMultilevel"/>
    <w:tmpl w:val="3B20AAD0"/>
    <w:lvl w:ilvl="0" w:tplc="E5FA4ACE">
      <w:start w:val="199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3D"/>
    <w:rsid w:val="000C503B"/>
    <w:rsid w:val="001D1AAC"/>
    <w:rsid w:val="001D4672"/>
    <w:rsid w:val="00226E73"/>
    <w:rsid w:val="00240AD5"/>
    <w:rsid w:val="002564BF"/>
    <w:rsid w:val="002804A2"/>
    <w:rsid w:val="002E67A0"/>
    <w:rsid w:val="00397EE1"/>
    <w:rsid w:val="003F4AB0"/>
    <w:rsid w:val="00461A3F"/>
    <w:rsid w:val="00461BF0"/>
    <w:rsid w:val="00495B8A"/>
    <w:rsid w:val="005038D0"/>
    <w:rsid w:val="0051291D"/>
    <w:rsid w:val="00551428"/>
    <w:rsid w:val="0058227A"/>
    <w:rsid w:val="005D5378"/>
    <w:rsid w:val="006545B9"/>
    <w:rsid w:val="006560D3"/>
    <w:rsid w:val="0066649C"/>
    <w:rsid w:val="006A420D"/>
    <w:rsid w:val="00723AEB"/>
    <w:rsid w:val="00753E9F"/>
    <w:rsid w:val="007A0F59"/>
    <w:rsid w:val="00820BCD"/>
    <w:rsid w:val="008D3055"/>
    <w:rsid w:val="008F75A2"/>
    <w:rsid w:val="0092790E"/>
    <w:rsid w:val="009507B1"/>
    <w:rsid w:val="00955541"/>
    <w:rsid w:val="009A1F4B"/>
    <w:rsid w:val="009B1AB0"/>
    <w:rsid w:val="009B3AFE"/>
    <w:rsid w:val="00A4533D"/>
    <w:rsid w:val="00A90C16"/>
    <w:rsid w:val="00B639E4"/>
    <w:rsid w:val="00B96E71"/>
    <w:rsid w:val="00C75F1F"/>
    <w:rsid w:val="00CB1EE3"/>
    <w:rsid w:val="00D0384D"/>
    <w:rsid w:val="00D24413"/>
    <w:rsid w:val="00D53C65"/>
    <w:rsid w:val="00D556B1"/>
    <w:rsid w:val="00DD2FBD"/>
    <w:rsid w:val="00E20A94"/>
    <w:rsid w:val="00E55ACD"/>
    <w:rsid w:val="00E80084"/>
    <w:rsid w:val="00F032BA"/>
    <w:rsid w:val="00F309F9"/>
    <w:rsid w:val="00F366D0"/>
    <w:rsid w:val="00F82D8A"/>
    <w:rsid w:val="00FA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pPr>
      <w:keepNext/>
      <w:ind w:left="6372"/>
      <w:jc w:val="both"/>
      <w:outlineLvl w:val="1"/>
    </w:pPr>
    <w:rPr>
      <w:rFonts w:ascii="Arial" w:hAnsi="Arial"/>
      <w:b/>
      <w:lang w:val="es-ES_tradnl"/>
    </w:rPr>
  </w:style>
  <w:style w:type="paragraph" w:styleId="Ttulo3">
    <w:name w:val="heading 3"/>
    <w:basedOn w:val="Normal"/>
    <w:next w:val="Normal"/>
    <w:qFormat/>
    <w:pPr>
      <w:keepNext/>
      <w:ind w:left="4956" w:firstLine="708"/>
      <w:jc w:val="both"/>
      <w:outlineLvl w:val="2"/>
    </w:pPr>
    <w:rPr>
      <w:rFonts w:ascii="Arial" w:hAnsi="Arial"/>
      <w:b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pPr>
      <w:ind w:left="1134"/>
      <w:jc w:val="both"/>
    </w:pPr>
    <w:rPr>
      <w:rFonts w:ascii="Arial" w:hAnsi="Arial"/>
      <w:lang w:val="es-ES_tradnl"/>
    </w:rPr>
  </w:style>
  <w:style w:type="paragraph" w:styleId="Prrafodelista">
    <w:name w:val="List Paragraph"/>
    <w:basedOn w:val="Normal"/>
    <w:uiPriority w:val="34"/>
    <w:qFormat/>
    <w:rsid w:val="005038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s-ES_tradnl"/>
    </w:rPr>
  </w:style>
  <w:style w:type="paragraph" w:styleId="Ttulo2">
    <w:name w:val="heading 2"/>
    <w:basedOn w:val="Normal"/>
    <w:next w:val="Normal"/>
    <w:qFormat/>
    <w:pPr>
      <w:keepNext/>
      <w:ind w:left="6372"/>
      <w:jc w:val="both"/>
      <w:outlineLvl w:val="1"/>
    </w:pPr>
    <w:rPr>
      <w:rFonts w:ascii="Arial" w:hAnsi="Arial"/>
      <w:b/>
      <w:lang w:val="es-ES_tradnl"/>
    </w:rPr>
  </w:style>
  <w:style w:type="paragraph" w:styleId="Ttulo3">
    <w:name w:val="heading 3"/>
    <w:basedOn w:val="Normal"/>
    <w:next w:val="Normal"/>
    <w:qFormat/>
    <w:pPr>
      <w:keepNext/>
      <w:ind w:left="4956" w:firstLine="708"/>
      <w:jc w:val="both"/>
      <w:outlineLvl w:val="2"/>
    </w:pPr>
    <w:rPr>
      <w:rFonts w:ascii="Arial" w:hAnsi="Arial"/>
      <w:b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pPr>
      <w:ind w:left="1134"/>
      <w:jc w:val="both"/>
    </w:pPr>
    <w:rPr>
      <w:rFonts w:ascii="Arial" w:hAnsi="Arial"/>
      <w:lang w:val="es-ES_tradnl"/>
    </w:rPr>
  </w:style>
  <w:style w:type="paragraph" w:styleId="Prrafodelista">
    <w:name w:val="List Paragraph"/>
    <w:basedOn w:val="Normal"/>
    <w:uiPriority w:val="34"/>
    <w:qFormat/>
    <w:rsid w:val="00503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is%20documentos\curraveas2.do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curraveas2.doc</Template>
  <TotalTime>4</TotalTime>
  <Pages>3</Pages>
  <Words>788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CONTROLLER</vt:lpstr>
    </vt:vector>
  </TitlesOfParts>
  <Company>EASA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CONTROLLER</dc:title>
  <dc:creator>augusto veas</dc:creator>
  <cp:lastModifiedBy>pc</cp:lastModifiedBy>
  <cp:revision>4</cp:revision>
  <cp:lastPrinted>2003-12-23T14:40:00Z</cp:lastPrinted>
  <dcterms:created xsi:type="dcterms:W3CDTF">2018-08-23T18:30:00Z</dcterms:created>
  <dcterms:modified xsi:type="dcterms:W3CDTF">2018-12-18T17:15:00Z</dcterms:modified>
</cp:coreProperties>
</file>